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3" w:rsidRDefault="00472225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 xml:space="preserve">وزارة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7C3F13" w:rsidRDefault="00472225" w:rsidP="00583122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</w:t>
      </w:r>
      <w:r w:rsidR="00583122"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  <w:t>تربية الفنية</w:t>
      </w:r>
    </w:p>
    <w:p w:rsidR="007C3F13" w:rsidRDefault="007C3F1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7C3F13" w:rsidRDefault="007C3F13">
      <w:pPr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7C3F13" w:rsidRDefault="00472225" w:rsidP="00583122">
      <w:pPr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اسم القسم : </w:t>
      </w:r>
      <w:r w:rsidR="00583122">
        <w:rPr>
          <w:rFonts w:asciiTheme="majorBidi" w:hAnsiTheme="majorBidi" w:cstheme="majorBidi" w:hint="cs"/>
          <w:b/>
          <w:bCs/>
          <w:sz w:val="48"/>
          <w:szCs w:val="48"/>
          <w:rtl/>
        </w:rPr>
        <w:t>التربية الفنية</w:t>
      </w:r>
    </w:p>
    <w:p w:rsidR="007C3F13" w:rsidRDefault="00472225">
      <w:pPr>
        <w:jc w:val="right"/>
        <w:rPr>
          <w:rFonts w:asciiTheme="majorBidi" w:hAnsiTheme="majorBidi" w:cstheme="majorBidi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الملف: 1/9/2021</w:t>
      </w:r>
    </w:p>
    <w:p w:rsidR="007C3F13" w:rsidRDefault="00472225">
      <w:pPr>
        <w:tabs>
          <w:tab w:val="left" w:pos="7440"/>
        </w:tabs>
        <w:rPr>
          <w:rStyle w:val="fontstyle01"/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sz w:val="72"/>
          <w:szCs w:val="72"/>
          <w:lang w:bidi="ar-IQ"/>
        </w:rPr>
        <w:tab/>
      </w:r>
    </w:p>
    <w:p w:rsidR="007C3F13" w:rsidRDefault="007C3F13">
      <w:pPr>
        <w:tabs>
          <w:tab w:val="left" w:pos="7440"/>
        </w:tabs>
        <w:rPr>
          <w:rStyle w:val="fontstyle01"/>
          <w:rFonts w:asciiTheme="majorBidi" w:hAnsiTheme="majorBidi" w:cstheme="majorBidi"/>
          <w:rtl/>
        </w:rPr>
      </w:pPr>
    </w:p>
    <w:p w:rsidR="001611B3" w:rsidRDefault="00472225" w:rsidP="00754B7D">
      <w:pPr>
        <w:tabs>
          <w:tab w:val="left" w:pos="7440"/>
        </w:tabs>
        <w:spacing w:after="0" w:line="240" w:lineRule="auto"/>
        <w:ind w:left="-90"/>
        <w:rPr>
          <w:rStyle w:val="fontstyle01"/>
          <w:rFonts w:asciiTheme="majorBidi" w:hAnsiTheme="majorBidi" w:cstheme="majorBidi"/>
          <w:sz w:val="36"/>
          <w:szCs w:val="36"/>
          <w:rtl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اسم رئيس القسم                                           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   اسم مقرر القسم   </w:t>
      </w:r>
    </w:p>
    <w:p w:rsidR="007C3F13" w:rsidRPr="00583122" w:rsidRDefault="001611B3" w:rsidP="001611B3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أ.م.د عباس تركي </w:t>
      </w:r>
      <w:proofErr w:type="spellStart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محيسن</w:t>
      </w:r>
      <w:proofErr w:type="spellEnd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م.م علي صاحب نور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</w:p>
    <w:p w:rsidR="007C3F13" w:rsidRDefault="007C3F13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7C3F13" w:rsidRDefault="00472225" w:rsidP="001611B3">
      <w:pPr>
        <w:spacing w:after="0" w:line="240" w:lineRule="auto"/>
        <w:jc w:val="right"/>
        <w:rPr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</w:t>
      </w:r>
      <w:r w:rsidR="001611B3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التوقيع                                                   </w:t>
      </w:r>
      <w:r w:rsidR="00FA3CC5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</w:t>
      </w:r>
      <w:proofErr w:type="spellStart"/>
      <w:r>
        <w:rPr>
          <w:rFonts w:asciiTheme="majorBidi" w:hAnsiTheme="majorBidi" w:cstheme="majorBidi"/>
          <w:sz w:val="36"/>
          <w:szCs w:val="36"/>
          <w:rtl/>
          <w:lang w:bidi="ar-IQ"/>
        </w:rPr>
        <w:t>التوقيع</w:t>
      </w:r>
      <w:proofErr w:type="spellEnd"/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</w:t>
      </w: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472225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lastRenderedPageBreak/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7C3F13">
        <w:tc>
          <w:tcPr>
            <w:tcW w:w="9576" w:type="dxa"/>
          </w:tcPr>
          <w:p w:rsidR="007C3F13" w:rsidRDefault="00472225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المتاحة. ولابد </w:t>
            </w:r>
            <w:r w:rsidR="004063B0"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من الربط بينها وبين وصف البرنام</w:t>
            </w:r>
            <w:r w:rsidR="004063B0">
              <w:rPr>
                <w:rStyle w:val="fontstyle01"/>
                <w:rFonts w:asciiTheme="majorBidi" w:hAnsiTheme="majorBidi" w:cstheme="majorBidi" w:hint="cs"/>
                <w:b w:val="0"/>
                <w:bCs w:val="0"/>
                <w:rtl/>
              </w:rPr>
              <w:t>ج ويشمل مواضيع تهتم بأساسيات الحاسوب واليات استخدامهم ومهارات التعامل معهم عمليا ونظريا كما يشمل جميع تفاصيل التقنيات وادوات التكنلوجيا الحديثة المستخدمة في مجال التخصص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tbl>
      <w:tblPr>
        <w:tblStyle w:val="1-3"/>
        <w:tblpPr w:leftFromText="180" w:rightFromText="180" w:vertAnchor="text" w:tblpY="213"/>
        <w:tblW w:w="0" w:type="auto"/>
        <w:tblLook w:val="04A0"/>
      </w:tblPr>
      <w:tblGrid>
        <w:gridCol w:w="1486"/>
        <w:gridCol w:w="1547"/>
        <w:gridCol w:w="2150"/>
        <w:gridCol w:w="106"/>
        <w:gridCol w:w="1915"/>
        <w:gridCol w:w="1273"/>
        <w:gridCol w:w="1099"/>
      </w:tblGrid>
      <w:tr w:rsidR="00FA3CC5" w:rsidTr="00FA3CC5">
        <w:trPr>
          <w:cnfStyle w:val="1000000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التربية الفنية/ برامج حاسوب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2. القسم الجامعي/المركز</w:t>
            </w:r>
          </w:p>
        </w:tc>
      </w:tr>
      <w:tr w:rsidR="00FA3CC5" w:rsidTr="00FA3CC5">
        <w:trPr>
          <w:trHeight w:val="12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FA3CC5" w:rsidTr="00FA3CC5">
        <w:trPr>
          <w:cnfStyle w:val="000000100000"/>
          <w:trHeight w:val="315"/>
        </w:trPr>
        <w:tc>
          <w:tcPr>
            <w:cnfStyle w:val="001000000000"/>
            <w:tcW w:w="5183" w:type="dxa"/>
            <w:gridSpan w:val="3"/>
          </w:tcPr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الحاسوب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FA3CC5" w:rsidTr="00FA3CC5">
        <w:tc>
          <w:tcPr>
            <w:cnfStyle w:val="001000000000"/>
            <w:tcW w:w="5183" w:type="dxa"/>
            <w:gridSpan w:val="3"/>
          </w:tcPr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دوام حضوري +الكتروني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السنوي 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FA3CC5" w:rsidTr="00FA3CC5"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ab/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30 اسبوع</w:t>
            </w:r>
            <w:r w:rsidRPr="00D26C9E">
              <w:rPr>
                <w:sz w:val="36"/>
                <w:szCs w:val="36"/>
                <w:lang w:bidi="ar-IQ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1.5 ساعة 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FA3CC5" w:rsidTr="00FA3CC5">
        <w:trPr>
          <w:cnfStyle w:val="000000100000"/>
        </w:trPr>
        <w:tc>
          <w:tcPr>
            <w:cnfStyle w:val="001000000000"/>
            <w:tcW w:w="5183" w:type="dxa"/>
            <w:gridSpan w:val="3"/>
          </w:tcPr>
          <w:p w:rsidR="00FA3CC5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1/9/2021</w:t>
            </w:r>
          </w:p>
        </w:tc>
        <w:tc>
          <w:tcPr>
            <w:tcW w:w="4393" w:type="dxa"/>
            <w:gridSpan w:val="4"/>
          </w:tcPr>
          <w:p w:rsidR="00FA3CC5" w:rsidRDefault="00FA3CC5" w:rsidP="00FA3CC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8. تاريخ اعداد هذا الوصف</w:t>
            </w:r>
          </w:p>
        </w:tc>
      </w:tr>
      <w:tr w:rsidR="00FA3CC5" w:rsidTr="00FA3CC5">
        <w:trPr>
          <w:trHeight w:val="2160"/>
        </w:trPr>
        <w:tc>
          <w:tcPr>
            <w:cnfStyle w:val="001000000000"/>
            <w:tcW w:w="9576" w:type="dxa"/>
            <w:gridSpan w:val="7"/>
          </w:tcPr>
          <w:p w:rsidR="00FA3CC5" w:rsidRDefault="00FA3CC5" w:rsidP="00FA3CC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1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اعطاء الطالب نظرة تاريخية على مراحل نشأة وتطور الحاسوب وتقنية المعلومات وعلاقتها بالتربية الفنية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2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تعريف الطلبة تقنية معلومات الحاسوب ونشأة انظمة المعلومات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3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اكساب الطلبة بعض مهارات تحليل وتصميم النظم وقواعد البيانات</w:t>
            </w:r>
          </w:p>
          <w:p w:rsidR="00FA3CC5" w:rsidRPr="00583122" w:rsidRDefault="00FA3CC5" w:rsidP="00FA3CC5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4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>اكساب الطلبةالمهارات التطبيقية في التعامل مع نظم تشغيل الحاسوب والبرامج المكتبية المختلفة</w:t>
            </w:r>
          </w:p>
          <w:p w:rsidR="00FA3CC5" w:rsidRDefault="00FA3CC5" w:rsidP="00FA3CC5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</w:p>
        </w:tc>
      </w:tr>
      <w:tr w:rsidR="00FA3CC5" w:rsidTr="00FA3CC5">
        <w:trPr>
          <w:cnfStyle w:val="000000100000"/>
          <w:trHeight w:val="620"/>
        </w:trPr>
        <w:tc>
          <w:tcPr>
            <w:cnfStyle w:val="001000000000"/>
            <w:tcW w:w="9576" w:type="dxa"/>
            <w:gridSpan w:val="7"/>
          </w:tcPr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ان ي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تعرف الطالب على اهم المصطلحات والمفاهيم التقنية الحاسوبية العامة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ان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يتعرف الطالب على انواع البرمجيات التشغيلية والتطبيقية للحاسوب سواء مفتوحة المصدر منها او المملوكة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ان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يتعرف الطالب على انواع الحواسيب والمكونات الاساسية لها والوسائل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 xml:space="preserve">المختلفة لاستعمالها وعلى تقنيات الاتصال والتواصل وتبادل المعلومات المختلفة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9F1A77" w:rsidP="00FA3CC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FA3CC5" w:rsidRPr="00D26C9E">
              <w:rPr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 ي</w:t>
            </w:r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تعرف الطالب على نظم الحاسب المختلفة المستخدمة 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FA3CC5" w:rsidRPr="00D26C9E" w:rsidRDefault="009F1A77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يتذكر الطالب المعاير المحددة لبيانات الفنون التشكيلية ومجموعة المعلومات الدنيا لنظم المعلومات الحاسوبية</w:t>
            </w:r>
          </w:p>
          <w:p w:rsidR="00FA3CC5" w:rsidRPr="00D26C9E" w:rsidRDefault="009F1A77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FA3CC5" w:rsidRPr="00D26C9E">
              <w:rPr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FA3CC5" w:rsidRPr="00D26C9E">
              <w:rPr>
                <w:sz w:val="36"/>
                <w:szCs w:val="36"/>
                <w:rtl/>
                <w:lang w:bidi="ar-IQ"/>
              </w:rPr>
              <w:t xml:space="preserve"> ي</w:t>
            </w:r>
            <w:r w:rsidR="00FA3CC5" w:rsidRPr="00D26C9E">
              <w:rPr>
                <w:rFonts w:hint="cs"/>
                <w:sz w:val="36"/>
                <w:szCs w:val="36"/>
                <w:rtl/>
                <w:lang w:bidi="ar-IQ"/>
              </w:rPr>
              <w:t>تعرف الطالب على اهم تقنيات الذكاء الاصطناعي المستخدمة في تطوير الفنون بأنواعها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ثانياً- الاهداف المهاراتية الخاصة بالمقرر:-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lang w:bidi="ar-IQ"/>
              </w:rPr>
              <w:tab/>
            </w:r>
            <w:r w:rsidRPr="00D26C9E">
              <w:rPr>
                <w:sz w:val="36"/>
                <w:szCs w:val="36"/>
                <w:rtl/>
                <w:lang w:bidi="ar-IQ"/>
              </w:rPr>
              <w:t>1- مهارات ادائية عن طريق اشراك الطالب بالدرس في ال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حاسوب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 مهارات اجتماعية عن طريق فتح حوار جماعي بين الطلبة في تقييم وتحليل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مكونات وبرامج الحاسوب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 تطبيق الدرس من قبل الطلبة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4- عمليات تقييم ذاتي للطلب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ان يكون الطالب قادر على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استخدام الحاسوب والتطبيقات المكتبية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لاتمتة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الاعمال</w:t>
            </w:r>
            <w:proofErr w:type="spellEnd"/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6-  - ان يكون الطالب قادر على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استخدام وسائل الاتصال للحصول على المعلومات العلمية في مجال تخصصه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7- ان يكون الطالب قادر على العمل ضمن فريق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لاداء</w:t>
            </w:r>
            <w:proofErr w:type="spellEnd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البحوث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ثالثاَ- الاهداف الوجدانية والقيمية:-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1- تنمية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قدرات الطلبة على تصميم نظام الكتروني بشكل مبسط في مجال تخصصه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تنمية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مهارات الطلبة باستخدام تطبيق معالج النصوص لأنشاء الوثائق والمستندات والاوراق البحثية والبحوث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تنمية القدرة على 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تصميم العروض التقديمية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4- القدرة على استخدام نظم الجداول الحسابية والرسوم البيانية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lastRenderedPageBreak/>
              <w:t>1- طريقة المحاضرة مع الاستجواب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طريقة التعلم الاستنباطي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طريقة التعلم الذاتي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معيار التقييم الاداء المهاري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الاختبار الاسبوعي: متابعة الطلبة اثناء البناء وحضورهم وغيابهم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الاختبار الفصلي: تقييم الطلبة بنهاية العمل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الاختبارات الشفوية 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الاختبارات التحريرية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6- التقويم الالكتروني وبنوك الاسئلة</w:t>
            </w:r>
          </w:p>
          <w:p w:rsidR="00FA3CC5" w:rsidRPr="00D26C9E" w:rsidRDefault="00FA3CC5" w:rsidP="00FA3CC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7- الاختبارات الادائية (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التطبيق على الحاسوب </w:t>
            </w:r>
            <w:r w:rsidRPr="00D26C9E">
              <w:rPr>
                <w:sz w:val="36"/>
                <w:szCs w:val="36"/>
                <w:rtl/>
                <w:lang w:bidi="ar-IQ"/>
              </w:rPr>
              <w:t>)</w:t>
            </w:r>
          </w:p>
          <w:p w:rsidR="00FA3CC5" w:rsidRPr="00D26C9E" w:rsidRDefault="00FA3CC5" w:rsidP="00FA3CC5">
            <w:pPr>
              <w:rPr>
                <w:sz w:val="36"/>
                <w:szCs w:val="36"/>
                <w:lang w:bidi="ar-IQ"/>
              </w:rPr>
            </w:pPr>
          </w:p>
          <w:p w:rsidR="00FA3CC5" w:rsidRPr="00D26C9E" w:rsidRDefault="00FA3CC5" w:rsidP="00FA3CC5">
            <w:pPr>
              <w:tabs>
                <w:tab w:val="left" w:pos="3405"/>
              </w:tabs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11- بنية المقرر</w:t>
            </w:r>
          </w:p>
        </w:tc>
      </w:tr>
      <w:tr w:rsidR="00FA3CC5" w:rsidTr="00FA3CC5">
        <w:trPr>
          <w:trHeight w:val="53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طريقة التقييم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طريقة التعلم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</w:tr>
      <w:tr w:rsidR="00FA3CC5" w:rsidTr="00FA3CC5">
        <w:trPr>
          <w:cnfStyle w:val="000000100000"/>
          <w:trHeight w:val="62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bookmarkStart w:id="0" w:name="_GoBack" w:colFirst="2" w:colLast="2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اطوار دورة حياة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</w:t>
            </w:r>
          </w:p>
        </w:tc>
      </w:tr>
      <w:tr w:rsidR="00FA3CC5" w:rsidTr="00FA3CC5">
        <w:trPr>
          <w:trHeight w:val="35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تطور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اجيال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</w:t>
            </w:r>
          </w:p>
        </w:tc>
      </w:tr>
      <w:tr w:rsidR="00FA3CC5" w:rsidTr="00FA3CC5">
        <w:trPr>
          <w:cnfStyle w:val="000000100000"/>
          <w:trHeight w:val="588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الحاسوب الالكتروني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FA3CC5" w:rsidTr="00FA3CC5">
        <w:trPr>
          <w:trHeight w:val="277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مميزات الحاسوب ومجالات استخدامه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4</w:t>
            </w:r>
          </w:p>
        </w:tc>
      </w:tr>
      <w:tr w:rsidR="00FA3CC5" w:rsidTr="00FA3CC5">
        <w:trPr>
          <w:cnfStyle w:val="000000100000"/>
          <w:trHeight w:val="262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انواع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الحواسيب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5</w:t>
            </w:r>
          </w:p>
        </w:tc>
      </w:tr>
      <w:tr w:rsidR="00FA3CC5" w:rsidTr="00FA3CC5">
        <w:trPr>
          <w:trHeight w:val="247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مكونات الحاسوب</w:t>
            </w:r>
          </w:p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الاجزاء المادية للحاسوب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6</w:t>
            </w:r>
          </w:p>
        </w:tc>
      </w:tr>
      <w:tr w:rsidR="00FA3CC5" w:rsidTr="00FA3CC5">
        <w:trPr>
          <w:cnfStyle w:val="000000100000"/>
          <w:trHeight w:val="27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اجهزة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الادخال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7</w:t>
            </w:r>
          </w:p>
        </w:tc>
      </w:tr>
      <w:tr w:rsidR="00FA3CC5" w:rsidTr="00FA3CC5">
        <w:trPr>
          <w:trHeight w:val="24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المحاضرة مع </w:t>
            </w: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اجهزة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الاخراج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8</w:t>
            </w:r>
          </w:p>
        </w:tc>
      </w:tr>
      <w:tr w:rsidR="00FA3CC5" w:rsidTr="00FA3CC5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صندوق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FA3CC5" w:rsidTr="00FA3CC5">
        <w:trPr>
          <w:trHeight w:val="199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الكيان غير المادي للحاسوب</w:t>
            </w:r>
          </w:p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الكيان البرمجي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10</w:t>
            </w:r>
          </w:p>
        </w:tc>
      </w:tr>
      <w:tr w:rsidR="00FA3CC5" w:rsidTr="00FA3CC5">
        <w:trPr>
          <w:cnfStyle w:val="000000100000"/>
          <w:trHeight w:val="24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منصة الحاسوب والعوامل التي يجب مراعاتها عند شراء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11</w:t>
            </w:r>
          </w:p>
        </w:tc>
      </w:tr>
      <w:tr w:rsidR="00FA3CC5" w:rsidTr="00FA3CC5">
        <w:trPr>
          <w:trHeight w:val="214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المميزات الرئيسية للحاسوب الشخصي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12</w:t>
            </w:r>
          </w:p>
        </w:tc>
      </w:tr>
      <w:tr w:rsidR="00FA3CC5" w:rsidTr="00FA3CC5">
        <w:trPr>
          <w:cnfStyle w:val="000000100000"/>
          <w:trHeight w:val="25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اخلاق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العالم الالكتروني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13</w:t>
            </w:r>
          </w:p>
        </w:tc>
      </w:tr>
      <w:tr w:rsidR="00FA3CC5" w:rsidTr="00FA3CC5">
        <w:trPr>
          <w:trHeight w:val="24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امن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14</w:t>
            </w:r>
          </w:p>
        </w:tc>
      </w:tr>
      <w:tr w:rsidR="00FA3CC5" w:rsidTr="00FA3CC5">
        <w:trPr>
          <w:cnfStyle w:val="000000100000"/>
          <w:trHeight w:val="154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امتحان الفصل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15</w:t>
            </w:r>
          </w:p>
        </w:tc>
      </w:tr>
      <w:tr w:rsidR="00FA3CC5" w:rsidTr="00FA3CC5">
        <w:trPr>
          <w:trHeight w:val="27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تراخيص الحاسوب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وانواعها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16</w:t>
            </w:r>
          </w:p>
        </w:tc>
      </w:tr>
      <w:tr w:rsidR="00FA3CC5" w:rsidTr="00FA3CC5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الملكية الفكرية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17</w:t>
            </w:r>
          </w:p>
        </w:tc>
      </w:tr>
      <w:tr w:rsidR="00FA3CC5" w:rsidTr="00FA3CC5">
        <w:trPr>
          <w:trHeight w:val="214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الاختراق الالكتروني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وانواعه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18</w:t>
            </w:r>
          </w:p>
        </w:tc>
      </w:tr>
      <w:tr w:rsidR="00FA3CC5" w:rsidTr="00FA3CC5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مصادر الاختراق الالكتروني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19</w:t>
            </w:r>
          </w:p>
        </w:tc>
      </w:tr>
      <w:tr w:rsidR="00FA3CC5" w:rsidTr="00FA3CC5">
        <w:trPr>
          <w:trHeight w:val="199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المخاطر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الامنية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الاكثر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انتشاراً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20</w:t>
            </w:r>
          </w:p>
        </w:tc>
      </w:tr>
      <w:tr w:rsidR="00FA3CC5" w:rsidTr="00FA3CC5">
        <w:trPr>
          <w:cnfStyle w:val="000000100000"/>
          <w:trHeight w:val="28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برامجيات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خبيثة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وفايروسات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الحاسوب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21</w:t>
            </w:r>
          </w:p>
        </w:tc>
      </w:tr>
      <w:tr w:rsidR="00FA3CC5" w:rsidTr="00FA3CC5">
        <w:trPr>
          <w:trHeight w:val="28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مكونات الفيروسات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وانواعها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22</w:t>
            </w:r>
          </w:p>
        </w:tc>
      </w:tr>
      <w:tr w:rsidR="00FA3CC5" w:rsidTr="00FA3CC5">
        <w:trPr>
          <w:cnfStyle w:val="000000100000"/>
          <w:trHeight w:val="169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الخطوات اللازمة للحماية من عمليات الاختراق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FA3CC5" w:rsidTr="00FA3CC5">
        <w:trPr>
          <w:trHeight w:val="21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نظم التشغيل تعريفها ووظائفها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واهدافها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23</w:t>
            </w:r>
          </w:p>
        </w:tc>
      </w:tr>
      <w:tr w:rsidR="00FA3CC5" w:rsidTr="00FA3CC5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نظم التشغيل وتصنيفها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25</w:t>
            </w:r>
          </w:p>
        </w:tc>
      </w:tr>
      <w:tr w:rsidR="00FA3CC5" w:rsidTr="00FA3CC5">
        <w:trPr>
          <w:trHeight w:val="18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نظام التشغيل </w:t>
            </w:r>
            <w:proofErr w:type="spellStart"/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وندوز</w:t>
            </w:r>
            <w:proofErr w:type="spellEnd"/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26</w:t>
            </w:r>
          </w:p>
        </w:tc>
      </w:tr>
      <w:tr w:rsidR="00FA3CC5" w:rsidTr="00FA3CC5">
        <w:trPr>
          <w:cnfStyle w:val="000000100000"/>
          <w:trHeight w:val="22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مكونات سطح المكتب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27</w:t>
            </w:r>
          </w:p>
        </w:tc>
      </w:tr>
      <w:tr w:rsidR="00FA3CC5" w:rsidTr="00FA3CC5">
        <w:trPr>
          <w:trHeight w:val="225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المجلدات والملفات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28</w:t>
            </w:r>
          </w:p>
        </w:tc>
      </w:tr>
      <w:tr w:rsidR="00FA3CC5" w:rsidTr="00FA3CC5">
        <w:trPr>
          <w:cnfStyle w:val="000000100000"/>
          <w:trHeight w:val="240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لوحة التحكم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29</w:t>
            </w:r>
          </w:p>
        </w:tc>
      </w:tr>
      <w:tr w:rsidR="00FA3CC5" w:rsidTr="00FA3CC5">
        <w:trPr>
          <w:trHeight w:val="184"/>
        </w:trPr>
        <w:tc>
          <w:tcPr>
            <w:cnfStyle w:val="001000000000"/>
            <w:tcW w:w="1486" w:type="dxa"/>
          </w:tcPr>
          <w:p w:rsidR="00FA3CC5" w:rsidRPr="00FA3CC5" w:rsidRDefault="00FA3CC5" w:rsidP="00FA3CC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7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</w:p>
        </w:tc>
        <w:tc>
          <w:tcPr>
            <w:tcW w:w="2256" w:type="dxa"/>
            <w:gridSpan w:val="2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امتحان الفصل الثاني</w:t>
            </w:r>
          </w:p>
        </w:tc>
        <w:tc>
          <w:tcPr>
            <w:tcW w:w="1915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bidi="ar-IQ"/>
              </w:rPr>
            </w:pPr>
          </w:p>
        </w:tc>
        <w:tc>
          <w:tcPr>
            <w:tcW w:w="1273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sz w:val="26"/>
                <w:szCs w:val="26"/>
              </w:rPr>
            </w:pPr>
            <w:r w:rsidRPr="00FA3CC5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099" w:type="dxa"/>
          </w:tcPr>
          <w:p w:rsidR="00FA3CC5" w:rsidRPr="00FA3CC5" w:rsidRDefault="00FA3CC5" w:rsidP="00FA3CC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FA3CC5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30</w:t>
            </w:r>
          </w:p>
        </w:tc>
      </w:tr>
      <w:bookmarkEnd w:id="0"/>
    </w:tbl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pPr w:leftFromText="180" w:rightFromText="180" w:vertAnchor="text" w:horzAnchor="margin" w:tblpY="28"/>
        <w:tblW w:w="0" w:type="auto"/>
        <w:tblLook w:val="04A0"/>
      </w:tblPr>
      <w:tblGrid>
        <w:gridCol w:w="5145"/>
        <w:gridCol w:w="4431"/>
      </w:tblGrid>
      <w:tr w:rsidR="00266FED" w:rsidTr="00266FED">
        <w:trPr>
          <w:cnfStyle w:val="100000000000"/>
          <w:trHeight w:val="435"/>
        </w:trPr>
        <w:tc>
          <w:tcPr>
            <w:cnfStyle w:val="001000000000"/>
            <w:tcW w:w="9576" w:type="dxa"/>
            <w:gridSpan w:val="2"/>
          </w:tcPr>
          <w:p w:rsidR="00266FED" w:rsidRDefault="00266FED" w:rsidP="00266FED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12- البنية التحتية: </w:t>
            </w:r>
          </w:p>
        </w:tc>
      </w:tr>
      <w:tr w:rsidR="00266FED" w:rsidTr="00266FED">
        <w:trPr>
          <w:cnfStyle w:val="000000100000"/>
          <w:trHeight w:val="270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الحاسوب الالكتروني</w:t>
            </w: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1- الكتب المقررة المطلوبة</w:t>
            </w:r>
          </w:p>
        </w:tc>
      </w:tr>
      <w:tr w:rsidR="00266FED" w:rsidTr="00266FED">
        <w:trPr>
          <w:trHeight w:val="225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lang w:bidi="ar-IQ"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المجلات العلمية الخاصة والدورية والبحوث في التخصص</w:t>
            </w: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2- الكتب والمراجع التي يوصي بها</w:t>
            </w:r>
          </w:p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(المجلات العلمية )</w:t>
            </w:r>
          </w:p>
        </w:tc>
      </w:tr>
      <w:tr w:rsidR="00266FED" w:rsidTr="00266FED">
        <w:trPr>
          <w:cnfStyle w:val="000000100000"/>
          <w:trHeight w:val="405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3- المراجع الرئيسية (المصادر)</w:t>
            </w:r>
          </w:p>
        </w:tc>
      </w:tr>
      <w:tr w:rsidR="00266FED" w:rsidTr="00266FED">
        <w:trPr>
          <w:trHeight w:val="408"/>
        </w:trPr>
        <w:tc>
          <w:tcPr>
            <w:cnfStyle w:val="001000000000"/>
            <w:tcW w:w="5145" w:type="dxa"/>
          </w:tcPr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266FED" w:rsidRPr="00D26C9E" w:rsidRDefault="00266FED" w:rsidP="00266FED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266FED" w:rsidRDefault="00266FED" w:rsidP="00266FED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7C3F13" w:rsidRDefault="007C3F13" w:rsidP="00FA3CC5">
      <w:pPr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9576"/>
      </w:tblGrid>
      <w:tr w:rsidR="007C3F13" w:rsidTr="003B6C96">
        <w:trPr>
          <w:cnfStyle w:val="100000000000"/>
          <w:trHeight w:val="585"/>
        </w:trPr>
        <w:tc>
          <w:tcPr>
            <w:cnfStyle w:val="001000000000"/>
            <w:tcW w:w="9576" w:type="dxa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13- خطة تطوير المقرر الدراسي</w:t>
            </w:r>
          </w:p>
          <w:p w:rsidR="007C3F13" w:rsidRDefault="007C3F13">
            <w:pPr>
              <w:jc w:val="right"/>
              <w:rPr>
                <w:sz w:val="36"/>
                <w:szCs w:val="36"/>
                <w:lang w:bidi="ar-IQ"/>
              </w:rPr>
            </w:pPr>
          </w:p>
        </w:tc>
      </w:tr>
      <w:tr w:rsidR="007C3F13" w:rsidTr="003B6C96">
        <w:trPr>
          <w:cnfStyle w:val="000000100000"/>
          <w:trHeight w:val="2114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7C3F13" w:rsidRPr="00754B7D" w:rsidRDefault="003B6C96" w:rsidP="003B6C96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1- </w:t>
            </w:r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التطوير على المحتوى الدراسي بالحذف </w:t>
            </w:r>
            <w:proofErr w:type="spellStart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والاضافة</w:t>
            </w:r>
            <w:proofErr w:type="spellEnd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والاستبدال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2- استعمال طرائق تدريسية حديثة حسب طبيعة المادة ومستوى المتعلمين بين الحين والاخر 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3- استعمال وسائل تقويمية حديثة كالتقوي</w:t>
            </w:r>
            <w:r w:rsidR="009173A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م البديل والالكتروني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  <w:tr w:rsidR="007C3F13" w:rsidTr="003B6C96">
        <w:trPr>
          <w:trHeight w:val="1324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متطلبات خاصة: (وتشمل على سبيل المثال ورش العمل والدوريات والمختبرات والمواقع الالكترونية) الخدمات الاجتماعية (وتشمل على سبيل المثال محاضرات الضيوف والتدريب المهني والدراسات الميدانية)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  <w:tr w:rsidR="003B6C96" w:rsidTr="003B6C96">
        <w:trPr>
          <w:cnfStyle w:val="000000100000"/>
          <w:trHeight w:val="699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3B6C96" w:rsidRDefault="003B6C96" w:rsidP="003B6C96">
            <w:pPr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توقيع تدريسي المادة: م. م. علي صاحب نور</w:t>
            </w:r>
          </w:p>
          <w:p w:rsidR="003B6C96" w:rsidRPr="00754B7D" w:rsidRDefault="003B6C96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</w:tbl>
    <w:p w:rsidR="007C3F13" w:rsidRDefault="007C3F13" w:rsidP="003B6C96">
      <w:pPr>
        <w:rPr>
          <w:sz w:val="36"/>
          <w:szCs w:val="36"/>
          <w:lang w:bidi="ar-IQ"/>
        </w:rPr>
      </w:pPr>
    </w:p>
    <w:sectPr w:rsidR="007C3F13" w:rsidSect="00B1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1" w:csb0="00000041" w:csb1="2008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7C3F13"/>
    <w:rsid w:val="001611B3"/>
    <w:rsid w:val="00177DC9"/>
    <w:rsid w:val="00266FED"/>
    <w:rsid w:val="00355284"/>
    <w:rsid w:val="003B6C96"/>
    <w:rsid w:val="004063B0"/>
    <w:rsid w:val="00472225"/>
    <w:rsid w:val="004D20AC"/>
    <w:rsid w:val="00583122"/>
    <w:rsid w:val="006A5ACF"/>
    <w:rsid w:val="00712FF1"/>
    <w:rsid w:val="00754B7D"/>
    <w:rsid w:val="007C3F13"/>
    <w:rsid w:val="007D6EE5"/>
    <w:rsid w:val="009173A5"/>
    <w:rsid w:val="00974618"/>
    <w:rsid w:val="009F1A77"/>
    <w:rsid w:val="00B13D92"/>
    <w:rsid w:val="00BC6093"/>
    <w:rsid w:val="00D26C9E"/>
    <w:rsid w:val="00FA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13D92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rsid w:val="00B13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2022-03-19T17:46:00Z</dcterms:created>
  <dcterms:modified xsi:type="dcterms:W3CDTF">2022-04-15T17:03:00Z</dcterms:modified>
  <cp:version>04.2000</cp:version>
</cp:coreProperties>
</file>